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B7" w:rsidRDefault="00F025B7"/>
    <w:p w:rsidR="00F025B7" w:rsidRDefault="00D8125F">
      <w:pPr>
        <w:jc w:val="center"/>
        <w:rPr>
          <w:b/>
        </w:rPr>
      </w:pPr>
      <w:r>
        <w:rPr>
          <w:b/>
        </w:rPr>
        <w:t>MINUTES FOR STRATHAM ENERGY COMMISSION MEETING</w:t>
      </w:r>
    </w:p>
    <w:p w:rsidR="00F025B7" w:rsidRDefault="00D8125F">
      <w:pPr>
        <w:ind w:left="720"/>
        <w:jc w:val="center"/>
        <w:rPr>
          <w:b/>
        </w:rPr>
      </w:pPr>
      <w:r>
        <w:rPr>
          <w:b/>
        </w:rPr>
        <w:t>Tuesday –</w:t>
      </w:r>
      <w:r w:rsidR="001302AE">
        <w:rPr>
          <w:b/>
        </w:rPr>
        <w:t>Jun</w:t>
      </w:r>
      <w:r w:rsidR="009462BC">
        <w:rPr>
          <w:b/>
        </w:rPr>
        <w:t xml:space="preserve"> 11</w:t>
      </w:r>
      <w:r>
        <w:rPr>
          <w:b/>
        </w:rPr>
        <w:t>th, 2019</w:t>
      </w:r>
    </w:p>
    <w:p w:rsidR="00F025B7" w:rsidRDefault="00D8125F">
      <w:pPr>
        <w:ind w:left="720"/>
        <w:jc w:val="center"/>
        <w:rPr>
          <w:b/>
        </w:rPr>
      </w:pPr>
      <w:r>
        <w:rPr>
          <w:b/>
        </w:rPr>
        <w:t>Meeting held at the Stratham Municipal Center</w:t>
      </w:r>
    </w:p>
    <w:p w:rsidR="00F025B7" w:rsidRDefault="00D8125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F025B7" w:rsidRDefault="00D8125F">
      <w:pPr>
        <w:ind w:left="720"/>
      </w:pPr>
      <w:r>
        <w:t xml:space="preserve"> Committee Members:</w:t>
      </w:r>
    </w:p>
    <w:p w:rsidR="00F025B7" w:rsidRPr="00922610" w:rsidRDefault="00D81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922610">
        <w:rPr>
          <w:b/>
          <w:color w:val="000000"/>
        </w:rPr>
        <w:t>Michael Ream</w:t>
      </w:r>
    </w:p>
    <w:p w:rsidR="00F025B7" w:rsidRPr="001302AE" w:rsidRDefault="00D81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302AE">
        <w:rPr>
          <w:b/>
          <w:color w:val="000000"/>
        </w:rPr>
        <w:t>Matthew O’Keefe</w:t>
      </w:r>
    </w:p>
    <w:p w:rsidR="00F025B7" w:rsidRDefault="00D81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Michael Gorman</w:t>
      </w:r>
    </w:p>
    <w:p w:rsidR="00F025B7" w:rsidRDefault="00D81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Charlie Case</w:t>
      </w:r>
    </w:p>
    <w:p w:rsidR="00F025B7" w:rsidRDefault="00D81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Michael Welty </w:t>
      </w:r>
    </w:p>
    <w:p w:rsidR="00F025B7" w:rsidRPr="00C918DD" w:rsidRDefault="00D81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C918DD">
        <w:rPr>
          <w:color w:val="000000"/>
        </w:rPr>
        <w:t>David Moore</w:t>
      </w:r>
    </w:p>
    <w:p w:rsidR="00F025B7" w:rsidRDefault="00F025B7"/>
    <w:p w:rsidR="00F025B7" w:rsidRDefault="00D8125F">
      <w:pPr>
        <w:ind w:left="720"/>
      </w:pPr>
      <w:r>
        <w:rPr>
          <w:b/>
        </w:rPr>
        <w:t>7:0</w:t>
      </w:r>
      <w:r w:rsidR="001302AE">
        <w:rPr>
          <w:b/>
        </w:rPr>
        <w:t>2</w:t>
      </w:r>
      <w:r>
        <w:rPr>
          <w:b/>
        </w:rPr>
        <w:t xml:space="preserve"> PM Call to order</w:t>
      </w:r>
      <w:r>
        <w:t xml:space="preserve"> </w:t>
      </w:r>
    </w:p>
    <w:p w:rsidR="00C918DD" w:rsidRDefault="00D8125F" w:rsidP="00C91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Approve</w:t>
      </w:r>
      <w:r w:rsidR="008B4283">
        <w:t>d</w:t>
      </w:r>
      <w:r>
        <w:t xml:space="preserve"> Meeting minutes from </w:t>
      </w:r>
      <w:r w:rsidR="001302AE">
        <w:t>May 14</w:t>
      </w:r>
      <w:r w:rsidR="0008388E">
        <w:t>, 2019</w:t>
      </w:r>
    </w:p>
    <w:p w:rsidR="00C918DD" w:rsidRDefault="00C918DD" w:rsidP="00C91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Solar Update at Stratham </w:t>
      </w:r>
      <w:r w:rsidR="00A61ACA">
        <w:t>Police Statio</w:t>
      </w:r>
      <w:r>
        <w:t>n update – David Moore</w:t>
      </w:r>
      <w:r w:rsidR="00710896">
        <w:t xml:space="preserve"> is</w:t>
      </w:r>
      <w:r>
        <w:t xml:space="preserve"> working with </w:t>
      </w:r>
      <w:proofErr w:type="spellStart"/>
      <w:r>
        <w:t>ReVsion</w:t>
      </w:r>
      <w:proofErr w:type="spellEnd"/>
      <w:r>
        <w:t xml:space="preserve"> energy to finalize mitigation </w:t>
      </w:r>
      <w:r w:rsidR="00C45DF8">
        <w:t xml:space="preserve">plan </w:t>
      </w:r>
      <w:r>
        <w:t xml:space="preserve">on snow </w:t>
      </w:r>
      <w:r w:rsidR="00710896">
        <w:t>runoff</w:t>
      </w:r>
      <w:r w:rsidR="00C45DF8">
        <w:t xml:space="preserve"> risk related to the current installation</w:t>
      </w:r>
      <w:r w:rsidR="00710896">
        <w:t>.</w:t>
      </w:r>
      <w:r w:rsidR="009462BC">
        <w:t xml:space="preserve"> Ongoing, no further update.</w:t>
      </w:r>
    </w:p>
    <w:p w:rsidR="00A61ACA" w:rsidRDefault="00A6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Clean </w:t>
      </w:r>
      <w:r w:rsidR="00710896">
        <w:t>E</w:t>
      </w:r>
      <w:r>
        <w:t>nergy NH</w:t>
      </w:r>
      <w:r w:rsidR="009462BC">
        <w:t xml:space="preserve"> (CENH)</w:t>
      </w:r>
      <w:r>
        <w:t xml:space="preserve"> / Seacoast Energy </w:t>
      </w:r>
      <w:r w:rsidR="00C918DD">
        <w:t>H</w:t>
      </w:r>
      <w:r>
        <w:t>ub</w:t>
      </w:r>
    </w:p>
    <w:p w:rsidR="009462BC" w:rsidRDefault="009462BC" w:rsidP="00A61A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Enrollment application accepted, Stratham is an official municipal member of CENH</w:t>
      </w:r>
    </w:p>
    <w:p w:rsidR="009462BC" w:rsidRDefault="009462BC" w:rsidP="00946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Benefits include support, knowledge, best practice sharing, resources</w:t>
      </w:r>
      <w:r w:rsidR="00F772CA">
        <w:t xml:space="preserve"> and advocacy with State House and </w:t>
      </w:r>
      <w:proofErr w:type="spellStart"/>
      <w:r w:rsidR="00F772CA">
        <w:t>and</w:t>
      </w:r>
      <w:proofErr w:type="spellEnd"/>
      <w:r w:rsidR="00F772CA">
        <w:t xml:space="preserve"> the PUC</w:t>
      </w:r>
      <w:r>
        <w:t>.</w:t>
      </w:r>
    </w:p>
    <w:p w:rsidR="00A83CCB" w:rsidRDefault="009462BC" w:rsidP="009616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Bill HB365</w:t>
      </w:r>
      <w:r w:rsidR="00A83CCB">
        <w:t xml:space="preserve"> was vetoed.  It</w:t>
      </w:r>
      <w:r>
        <w:t xml:space="preserve"> proposed to increase the net metering cap from 1MW to 5MW per project, focusing on municipal project</w:t>
      </w:r>
      <w:r w:rsidR="0096169C">
        <w:t>s.</w:t>
      </w:r>
      <w:r>
        <w:t xml:space="preserve">  CENH rallying local energy groups to </w:t>
      </w:r>
      <w:r w:rsidR="00A83CCB">
        <w:t xml:space="preserve">to reach out to local reps, asking SEC to contact House Rep </w:t>
      </w:r>
      <w:proofErr w:type="spellStart"/>
      <w:r w:rsidR="00A83CCB">
        <w:t>Abrami</w:t>
      </w:r>
      <w:proofErr w:type="spellEnd"/>
      <w:r w:rsidR="00A83CCB">
        <w:t>, as they are seeking a 2/3</w:t>
      </w:r>
      <w:r w:rsidR="00A83CCB" w:rsidRPr="00A83CCB">
        <w:rPr>
          <w:vertAlign w:val="superscript"/>
        </w:rPr>
        <w:t>rd</w:t>
      </w:r>
      <w:r w:rsidR="00A83CCB">
        <w:t xml:space="preserve"> vote to overturn the veto.  Deadline for which is July 01, 2019.</w:t>
      </w:r>
    </w:p>
    <w:p w:rsidR="009462BC" w:rsidRDefault="00946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Portfolio Manager</w:t>
      </w:r>
    </w:p>
    <w:p w:rsidR="009462BC" w:rsidRDefault="009462BC" w:rsidP="00946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 to coordinate with</w:t>
      </w:r>
      <w:r w:rsidR="0096169C">
        <w:t xml:space="preserve"> a to be identified</w:t>
      </w:r>
      <w:r>
        <w:t xml:space="preserve"> town resource to enter the town</w:t>
      </w:r>
      <w:r w:rsidR="0096169C">
        <w:t>’</w:t>
      </w:r>
      <w:r>
        <w:t>s energy data into the Portfolio Manager system.  Mike Welty and Matt O’Keefe to coordinate with David Moore.</w:t>
      </w:r>
    </w:p>
    <w:p w:rsidR="009462BC" w:rsidRDefault="009462BC" w:rsidP="009462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 data also in the system, entered originally as a benchmark, must decide if/how we will manage these</w:t>
      </w:r>
      <w:r w:rsidR="0096169C">
        <w:t xml:space="preserve"> non-town</w:t>
      </w:r>
      <w:r>
        <w:t xml:space="preserve"> user demand </w:t>
      </w:r>
      <w:r w:rsidR="0096169C">
        <w:t xml:space="preserve">data </w:t>
      </w:r>
      <w:r>
        <w:t xml:space="preserve">in the </w:t>
      </w:r>
      <w:r w:rsidR="0096169C">
        <w:t>future.</w:t>
      </w:r>
    </w:p>
    <w:p w:rsidR="00F772CA" w:rsidRDefault="00F77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Group Net Metering – </w:t>
      </w:r>
      <w:r w:rsidR="00A83CCB">
        <w:t>company “</w:t>
      </w:r>
      <w:r>
        <w:t>Gather</w:t>
      </w:r>
      <w:r w:rsidR="00A83CCB">
        <w:t>” presented an</w:t>
      </w:r>
      <w:r>
        <w:t xml:space="preserve"> </w:t>
      </w:r>
      <w:r w:rsidR="00887143">
        <w:t>offer to Stratham</w:t>
      </w:r>
    </w:p>
    <w:p w:rsidR="00887143" w:rsidRDefault="00887143" w:rsidP="008871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Gather represents solar projects in NH that are in need of users to be qualified as Group Members for offsite solar energy projects in NH Group Net Metering program.</w:t>
      </w:r>
    </w:p>
    <w:p w:rsidR="00887143" w:rsidRDefault="00887143" w:rsidP="008871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 considering the value proposition.</w:t>
      </w:r>
    </w:p>
    <w:p w:rsidR="00887143" w:rsidRDefault="00A83CCB" w:rsidP="008871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While </w:t>
      </w:r>
      <w:r w:rsidR="00887143">
        <w:t>SEC is most likely going to an aggregate 3</w:t>
      </w:r>
      <w:r w:rsidR="00887143" w:rsidRPr="00887143">
        <w:rPr>
          <w:vertAlign w:val="superscript"/>
        </w:rPr>
        <w:t>rd</w:t>
      </w:r>
      <w:r w:rsidR="00887143">
        <w:t xml:space="preserve"> party (RPC</w:t>
      </w:r>
      <w:r>
        <w:t>, see item 6 below</w:t>
      </w:r>
      <w:r w:rsidR="00887143">
        <w:t>), we are still interested in renewable energy</w:t>
      </w:r>
      <w:r>
        <w:t xml:space="preserve"> and how these programs might be best leveraged</w:t>
      </w:r>
      <w:r w:rsidR="00887143">
        <w:t>.</w:t>
      </w:r>
      <w:r>
        <w:t xml:space="preserve">  Next step:  Matt O’Keefe to SEC to speak w/ CENH for guidance on this type of opportunity.   </w:t>
      </w:r>
    </w:p>
    <w:p w:rsidR="00C918DD" w:rsidRDefault="00C91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Rockingham Planning Commission</w:t>
      </w:r>
      <w:r w:rsidR="00887143">
        <w:t xml:space="preserve"> - </w:t>
      </w:r>
    </w:p>
    <w:p w:rsidR="00887143" w:rsidRDefault="00887143" w:rsidP="00C91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Stratham are RPC members.  RP</w:t>
      </w:r>
      <w:r w:rsidR="0096169C">
        <w:t>C, among other things,</w:t>
      </w:r>
      <w:r>
        <w:t xml:space="preserve"> are electricity brokerage who are aggregators.</w:t>
      </w:r>
    </w:p>
    <w:p w:rsidR="00C918DD" w:rsidRDefault="00C918DD" w:rsidP="00C91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 Moore sent recent </w:t>
      </w:r>
      <w:r w:rsidR="0096169C">
        <w:t xml:space="preserve">Stratham </w:t>
      </w:r>
      <w:r>
        <w:t>energy bills to RPC</w:t>
      </w:r>
      <w:r w:rsidR="0096169C">
        <w:t xml:space="preserve"> for evaluation, anticipating</w:t>
      </w:r>
      <w:r>
        <w:t xml:space="preserve"> </w:t>
      </w:r>
      <w:proofErr w:type="gramStart"/>
      <w:r>
        <w:t>to hear</w:t>
      </w:r>
      <w:proofErr w:type="gramEnd"/>
      <w:r>
        <w:t xml:space="preserve"> back</w:t>
      </w:r>
      <w:r w:rsidR="00887143">
        <w:t xml:space="preserve"> from RPC</w:t>
      </w:r>
      <w:r w:rsidR="0096169C">
        <w:t xml:space="preserve"> in August.</w:t>
      </w:r>
      <w:r>
        <w:t xml:space="preserve"> </w:t>
      </w:r>
      <w:r w:rsidR="00887143">
        <w:t xml:space="preserve"> </w:t>
      </w:r>
    </w:p>
    <w:p w:rsidR="00887143" w:rsidRDefault="0096169C" w:rsidP="00C91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Upon receipt of </w:t>
      </w:r>
      <w:r w:rsidR="00887143">
        <w:t>RPC</w:t>
      </w:r>
      <w:r>
        <w:t xml:space="preserve">’s services </w:t>
      </w:r>
      <w:r w:rsidR="00887143">
        <w:t>offer, SEC’s</w:t>
      </w:r>
      <w:r>
        <w:t xml:space="preserve"> will evaluate and recommend a course of action for the town</w:t>
      </w:r>
      <w:r w:rsidR="00887143">
        <w:t>.</w:t>
      </w:r>
    </w:p>
    <w:p w:rsidR="00C918DD" w:rsidRDefault="00C918DD" w:rsidP="00C91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 Business</w:t>
      </w:r>
    </w:p>
    <w:p w:rsidR="00CC72B2" w:rsidRDefault="009761D9" w:rsidP="00C91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options are there for towns to utilize conservation easements for the use of Solar Ground arrays</w:t>
      </w:r>
      <w:r w:rsidR="00CC72B2">
        <w:t xml:space="preserve">, in a way </w:t>
      </w:r>
      <w:r w:rsidR="0096169C">
        <w:t xml:space="preserve">which </w:t>
      </w:r>
      <w:r w:rsidR="00CC72B2">
        <w:t>benefit</w:t>
      </w:r>
      <w:r w:rsidR="0096169C">
        <w:t>s</w:t>
      </w:r>
      <w:r w:rsidR="00CC72B2">
        <w:t xml:space="preserve"> the town and impacted stakeholders?  </w:t>
      </w:r>
    </w:p>
    <w:p w:rsidR="00CC72B2" w:rsidRDefault="00CC72B2" w:rsidP="00C91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are other commissions doing with</w:t>
      </w:r>
      <w:r w:rsidR="0096169C">
        <w:t xml:space="preserve"> adoption of solar in</w:t>
      </w:r>
      <w:r>
        <w:t xml:space="preserve"> residential areas?</w:t>
      </w:r>
    </w:p>
    <w:p w:rsidR="00C918DD" w:rsidRDefault="00CC72B2" w:rsidP="00C91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Matt O’Keefe to consult with CENH</w:t>
      </w:r>
      <w:r w:rsidR="0096169C">
        <w:t xml:space="preserve"> before the next SEC meeting.</w:t>
      </w:r>
    </w:p>
    <w:p w:rsidR="00F025B7" w:rsidRDefault="00D8125F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 </w:t>
      </w:r>
    </w:p>
    <w:p w:rsidR="00F025B7" w:rsidRDefault="00D8125F">
      <w:pPr>
        <w:ind w:left="360" w:firstLine="720"/>
      </w:pPr>
      <w:r>
        <w:t>Adjourned</w:t>
      </w:r>
      <w:r w:rsidR="00CC72B2">
        <w:t xml:space="preserve"> 8:05 </w:t>
      </w:r>
      <w:r w:rsidR="00C7158F">
        <w:t>PM</w:t>
      </w:r>
    </w:p>
    <w:p w:rsidR="00E448AA" w:rsidRDefault="00E448AA">
      <w:pPr>
        <w:ind w:left="360" w:firstLine="720"/>
      </w:pPr>
    </w:p>
    <w:p w:rsidR="00F025B7" w:rsidRDefault="00E448AA">
      <w:pPr>
        <w:ind w:left="360" w:firstLine="720"/>
      </w:pPr>
      <w:r>
        <w:t>No Meeting in July</w:t>
      </w:r>
    </w:p>
    <w:p w:rsidR="00F025B7" w:rsidRDefault="00D8125F" w:rsidP="00CC72B2">
      <w:pPr>
        <w:ind w:left="360" w:firstLine="720"/>
      </w:pPr>
      <w:r>
        <w:t xml:space="preserve">Next Meeting </w:t>
      </w:r>
      <w:r w:rsidR="00CC72B2">
        <w:t>Tuesday Aug 13</w:t>
      </w:r>
      <w:r>
        <w:rPr>
          <w:vertAlign w:val="superscript"/>
        </w:rPr>
        <w:t>th</w:t>
      </w:r>
      <w:r w:rsidR="00CC72B2">
        <w:t xml:space="preserve"> </w:t>
      </w:r>
      <w:r>
        <w:t>at 7 pm.</w:t>
      </w:r>
    </w:p>
    <w:p w:rsidR="00F025B7" w:rsidRDefault="00F025B7">
      <w:pPr>
        <w:ind w:left="360" w:firstLine="720"/>
      </w:pPr>
    </w:p>
    <w:p w:rsidR="00F025B7" w:rsidRDefault="00D8125F">
      <w:pPr>
        <w:ind w:left="360" w:firstLine="720"/>
      </w:pPr>
      <w:r>
        <w:t>Respectfully submitted – M</w:t>
      </w:r>
      <w:r w:rsidR="00C918DD">
        <w:t>ichael Gorman</w:t>
      </w:r>
      <w:r>
        <w:t xml:space="preserve"> </w:t>
      </w:r>
      <w:r w:rsidR="00F772FC">
        <w:t>6/11</w:t>
      </w:r>
      <w:r w:rsidR="00C918DD">
        <w:t>/</w:t>
      </w:r>
      <w:r>
        <w:t>19</w:t>
      </w:r>
    </w:p>
    <w:sectPr w:rsidR="00F025B7" w:rsidSect="00C45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9" w:rsidRDefault="00CE2399">
      <w:r>
        <w:separator/>
      </w:r>
    </w:p>
  </w:endnote>
  <w:endnote w:type="continuationSeparator" w:id="0">
    <w:p w:rsidR="00CE2399" w:rsidRDefault="00CE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B7" w:rsidRDefault="00F02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B7" w:rsidRDefault="00D812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The Stratham Energy Commission reserves the right to conduct the meeting in any order they deem appropriate.</w:t>
    </w:r>
  </w:p>
  <w:p w:rsidR="00F025B7" w:rsidRDefault="00F02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B7" w:rsidRDefault="00F02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9" w:rsidRDefault="00CE2399">
      <w:r>
        <w:separator/>
      </w:r>
    </w:p>
  </w:footnote>
  <w:footnote w:type="continuationSeparator" w:id="0">
    <w:p w:rsidR="00CE2399" w:rsidRDefault="00CE2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B7" w:rsidRDefault="00F02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B7" w:rsidRDefault="00D812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00000"/>
      </w:rPr>
    </w:pPr>
    <w:r>
      <w:rPr>
        <w:noProof/>
        <w:color w:val="000000"/>
      </w:rPr>
      <w:drawing>
        <wp:inline distT="0" distB="0" distL="0" distR="0">
          <wp:extent cx="1419225" cy="1304925"/>
          <wp:effectExtent l="0" t="0" r="0" b="0"/>
          <wp:docPr id="6" name="image1.png" descr="D:\Datafiles\Common Data\Images\town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Datafiles\Common Data\Images\town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88900</wp:posOffset>
              </wp:positionV>
              <wp:extent cx="3676650" cy="11620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7200" y="3208500"/>
                        <a:ext cx="36576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025B7" w:rsidRDefault="00D8125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52"/>
                            </w:rPr>
                            <w:t>Town of Stratham</w:t>
                          </w:r>
                        </w:p>
                        <w:p w:rsidR="00F025B7" w:rsidRDefault="00D8125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>Incorporated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1716</w:t>
                          </w:r>
                        </w:p>
                        <w:p w:rsidR="00F025B7" w:rsidRDefault="00F025B7">
                          <w:pPr>
                            <w:jc w:val="center"/>
                            <w:textDirection w:val="btLr"/>
                          </w:pPr>
                        </w:p>
                        <w:p w:rsidR="00F025B7" w:rsidRDefault="00D8125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10 </w:t>
                          </w:r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 xml:space="preserve">Bunker Hill </w:t>
                          </w:r>
                          <w:proofErr w:type="gramStart"/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>Avenue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>Stratham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NH 03885</w:t>
                          </w:r>
                        </w:p>
                        <w:p w:rsidR="00F025B7" w:rsidRDefault="00F025B7">
                          <w:pPr>
                            <w:jc w:val="center"/>
                            <w:textDirection w:val="btLr"/>
                          </w:pPr>
                        </w:p>
                        <w:p w:rsidR="00F025B7" w:rsidRDefault="00D8125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>Voice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(603) 772-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 xml:space="preserve">4741  </w:t>
                          </w:r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 (603) 775-0517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124pt;margin-top:7pt;width:289.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" stroked="f">
              <v:textbox inset="91425emu,45700emu,91425emu,45700emu">
                <w:txbxContent>
                  <w:p w:rsidR="00F025B7" w:rsidRDefault="00D8125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52"/>
                      </w:rPr>
                      <w:t>Town of Stratham</w:t>
                    </w:r>
                  </w:p>
                  <w:p w:rsidR="00F025B7" w:rsidRDefault="00D8125F">
                    <w:pPr>
                      <w:jc w:val="center"/>
                      <w:textDirection w:val="btLr"/>
                    </w:pPr>
                    <w:r>
                      <w:rPr>
                        <w:smallCaps/>
                        <w:color w:val="000000"/>
                        <w:sz w:val="16"/>
                      </w:rPr>
                      <w:t>Incorporated</w:t>
                    </w:r>
                    <w:r>
                      <w:rPr>
                        <w:color w:val="000000"/>
                        <w:sz w:val="16"/>
                      </w:rPr>
                      <w:t xml:space="preserve"> 1716</w:t>
                    </w:r>
                  </w:p>
                  <w:p w:rsidR="00F025B7" w:rsidRDefault="00F025B7">
                    <w:pPr>
                      <w:jc w:val="center"/>
                      <w:textDirection w:val="btLr"/>
                    </w:pPr>
                  </w:p>
                  <w:p w:rsidR="00F025B7" w:rsidRDefault="00D8125F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10 </w:t>
                    </w:r>
                    <w:r>
                      <w:rPr>
                        <w:smallCaps/>
                        <w:color w:val="000000"/>
                        <w:sz w:val="16"/>
                      </w:rPr>
                      <w:t xml:space="preserve">Bunker Hill </w:t>
                    </w:r>
                    <w:proofErr w:type="gramStart"/>
                    <w:r>
                      <w:rPr>
                        <w:smallCaps/>
                        <w:color w:val="000000"/>
                        <w:sz w:val="16"/>
                      </w:rPr>
                      <w:t>Avenue</w:t>
                    </w:r>
                    <w:r>
                      <w:rPr>
                        <w:color w:val="000000"/>
                        <w:sz w:val="18"/>
                      </w:rPr>
                      <w:t xml:space="preserve">  </w:t>
                    </w:r>
                    <w:r>
                      <w:rPr>
                        <w:smallCaps/>
                        <w:color w:val="000000"/>
                        <w:sz w:val="16"/>
                      </w:rPr>
                      <w:t>Stratham</w:t>
                    </w:r>
                    <w:proofErr w:type="gramEnd"/>
                    <w:r>
                      <w:rPr>
                        <w:color w:val="000000"/>
                        <w:sz w:val="18"/>
                      </w:rPr>
                      <w:t xml:space="preserve"> NH 03885</w:t>
                    </w:r>
                  </w:p>
                  <w:p w:rsidR="00F025B7" w:rsidRDefault="00F025B7">
                    <w:pPr>
                      <w:jc w:val="center"/>
                      <w:textDirection w:val="btLr"/>
                    </w:pPr>
                  </w:p>
                  <w:p w:rsidR="00F025B7" w:rsidRDefault="00D8125F">
                    <w:pPr>
                      <w:jc w:val="center"/>
                      <w:textDirection w:val="btLr"/>
                    </w:pPr>
                    <w:r>
                      <w:rPr>
                        <w:smallCaps/>
                        <w:color w:val="000000"/>
                        <w:sz w:val="16"/>
                      </w:rPr>
                      <w:t>Voice</w:t>
                    </w:r>
                    <w:r>
                      <w:rPr>
                        <w:color w:val="000000"/>
                        <w:sz w:val="16"/>
                      </w:rPr>
                      <w:t xml:space="preserve"> (603) 772-</w:t>
                    </w:r>
                    <w:proofErr w:type="gramStart"/>
                    <w:r>
                      <w:rPr>
                        <w:color w:val="000000"/>
                        <w:sz w:val="16"/>
                      </w:rPr>
                      <w:t xml:space="preserve">4741  </w:t>
                    </w:r>
                    <w:r>
                      <w:rPr>
                        <w:smallCaps/>
                        <w:color w:val="000000"/>
                        <w:sz w:val="16"/>
                      </w:rPr>
                      <w:t>Fax</w:t>
                    </w:r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 (603) 775-0517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1358900</wp:posOffset>
              </wp:positionH>
              <wp:positionV relativeFrom="paragraph">
                <wp:posOffset>1262396</wp:posOffset>
              </wp:positionV>
              <wp:extent cx="412432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88600" y="3780000"/>
                        <a:ext cx="4114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07pt;margin-top:99.4pt;width:324.75pt;height:1.75pt;z-index:251659264;visibility:visible;mso-wrap-style:square;mso-wrap-distance-left:9pt;mso-wrap-distance-top:-1emu;mso-wrap-distance-right:9pt;mso-wrap-distance-bottom:-1emu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B7" w:rsidRDefault="00F025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664"/>
    <w:multiLevelType w:val="multilevel"/>
    <w:tmpl w:val="AAE80A04"/>
    <w:lvl w:ilvl="0">
      <w:start w:val="1"/>
      <w:numFmt w:val="decimal"/>
      <w:lvlText w:val="%1.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5A39BB"/>
    <w:multiLevelType w:val="multilevel"/>
    <w:tmpl w:val="090420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C534130"/>
    <w:multiLevelType w:val="hybridMultilevel"/>
    <w:tmpl w:val="73B68D56"/>
    <w:lvl w:ilvl="0" w:tplc="EC4EFD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7"/>
    <w:rsid w:val="0008388E"/>
    <w:rsid w:val="00105ACC"/>
    <w:rsid w:val="001302AE"/>
    <w:rsid w:val="001B2725"/>
    <w:rsid w:val="0030029C"/>
    <w:rsid w:val="00305BE0"/>
    <w:rsid w:val="00321C19"/>
    <w:rsid w:val="00343A28"/>
    <w:rsid w:val="004F1300"/>
    <w:rsid w:val="00577DC2"/>
    <w:rsid w:val="005C4A42"/>
    <w:rsid w:val="00614F76"/>
    <w:rsid w:val="00710896"/>
    <w:rsid w:val="00780A43"/>
    <w:rsid w:val="00887143"/>
    <w:rsid w:val="008B4283"/>
    <w:rsid w:val="00922610"/>
    <w:rsid w:val="009462BC"/>
    <w:rsid w:val="0096169C"/>
    <w:rsid w:val="009761D9"/>
    <w:rsid w:val="00A61ACA"/>
    <w:rsid w:val="00A83CCB"/>
    <w:rsid w:val="00AD199C"/>
    <w:rsid w:val="00BD5E29"/>
    <w:rsid w:val="00C45DF8"/>
    <w:rsid w:val="00C7158F"/>
    <w:rsid w:val="00C918DD"/>
    <w:rsid w:val="00CC72B2"/>
    <w:rsid w:val="00CE2399"/>
    <w:rsid w:val="00D8125F"/>
    <w:rsid w:val="00E33101"/>
    <w:rsid w:val="00E448AA"/>
    <w:rsid w:val="00F025B7"/>
    <w:rsid w:val="00F772C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mallCaps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A61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2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mallCaps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A61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2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Michael</dc:creator>
  <cp:lastModifiedBy>MJWelty</cp:lastModifiedBy>
  <cp:revision>2</cp:revision>
  <cp:lastPrinted>2019-06-12T12:15:00Z</cp:lastPrinted>
  <dcterms:created xsi:type="dcterms:W3CDTF">2019-08-14T18:42:00Z</dcterms:created>
  <dcterms:modified xsi:type="dcterms:W3CDTF">2019-08-14T18:42:00Z</dcterms:modified>
</cp:coreProperties>
</file>